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11c401f594d0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24826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KULTURNO INFORMATIVNI CENTAR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1.074.810,22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1.171.084,16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1.035.361,97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1.263.334,60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92.250,44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79.165,62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18.173,86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79.165,62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18.173,86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39.717,37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110.424,30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278,0</w:t>
            </w:r>
          </w:p>
        </w:tc>
      </w:tr>
    </w:tbl>
    <w:p>
      <w:pPr>
        <w:spacing w:before="0" w:after="0"/>
      </w:pPr>
    </w:p>
    <w:p>
      <w:r>
        <w:t xml:space="preserve">U izvještajnom razdoblju 01-12-2025 g. ukupni prihodi u iznosu od 1.171.084,16 eura sastoje se od prihoda od nadležnog proračuna u iznosu od 1.094.434,25 eur, prihoda od prodaje proizvoda i usluga u iznosu od 29.748,31 eur., pomoći međunarodnih organizacija u iznosu od 39.682,40 eura, kao I Prihoda od proračuna koji nije nadležan 37.036,24 eura</w:t>
      </w:r>
    </w:p>
    <w:p>
      <w:r>
        <w:t xml:space="preserve">Ukupni ostvareni rashodi poslovanja 2025 g.ostvareni su u iznosu od 1.281.508,46 eura.Sastoje se od rashoda za zaposlene , materijalnih i financijskih rashoda u ukupnom iznosu od 1.263.334,60 eura i u odnosu na 2024.g. veći su za 22%. Rezultat povećanja ostavrenih rashoda izvještajnog razdoblja su troškovi povećanja rashoda za plaće radi izmjene osnovice obračuna, povećanja iznosa materijalnih prava , kao i izmjene  načina evidentiranja troškova za plaće.Troškovi usluga bilježe blagi porast u odnosu na izvještajno razdoblje prethodne godine radi proširene realizacije programa..Rashode izvještajnog razdoblja čine i rashodi za nabavu nefinancijske imovine u iznosu od 18.173,86 eur.</w:t>
      </w:r>
    </w:p>
    <w:p>
      <w:r>
        <w:t xml:space="preserve">Manjak prihoda poslovanja u iznosu od 110.424,30 eur pokriven je iz prenesenog viška poslovanja 2024.g. u iznosu od 52.063,38 eur, dok se manjak poslovanja 2025.g. u iznosu od 58.360,92 eura prenosi u sljedeće izvještajno razdoblje.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međunarodnih organizacija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39.682,40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9920,6</w:t>
            </w:r>
          </w:p>
        </w:tc>
      </w:tr>
    </w:tbl>
    <w:p>
      <w:pPr>
        <w:spacing w:before="0" w:after="0"/>
      </w:pPr>
    </w:p>
    <w:p>
      <w:r>
        <w:t xml:space="preserve">Ostavreni prihodi izvještajnog razdoblja 2025 g. od međunarodnih organizacija u iznosu od 39.682,40 eura  odnose se na završnu uplatu EU programa , I čine 3,3% ukupnih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25.492,40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37.036,24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145,3</w:t>
            </w:r>
          </w:p>
        </w:tc>
      </w:tr>
    </w:tbl>
    <w:p>
      <w:pPr>
        <w:spacing w:before="0" w:after="0"/>
      </w:pPr>
    </w:p>
    <w:p>
      <w:r>
        <w:t xml:space="preserve">Ostvareni prihodi izvještajnog razdoblja u iznosu od 37.036,24 eura veći su za 45,3% u odnosu na isti period 2024.g. te čine 3,1% ukupnih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Ostvareni prihodi u iznosu od 182,42 eura odnose se na prihode iz odštetnih zahtjeva.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43.799,39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28.248,31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64,5</w:t>
            </w:r>
          </w:p>
        </w:tc>
      </w:tr>
    </w:tbl>
    <w:p>
      <w:pPr>
        <w:spacing w:before="0" w:after="0"/>
      </w:pPr>
    </w:p>
    <w:p>
      <w:r>
        <w:t xml:space="preserve">Prihodi od prodaje proizvoda i usluga u 2025 g iznose 28.248,31 eur, i čine 2,4%ukupnih prhoda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14.528,84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3.204,10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22,1</w:t>
            </w:r>
          </w:p>
        </w:tc>
      </w:tr>
    </w:tbl>
    <w:p>
      <w:pPr>
        <w:spacing w:before="0" w:after="0"/>
      </w:pPr>
    </w:p>
    <w:p>
      <w:r>
        <w:t xml:space="preserve">Prihodi od prodaje proizvoda i usluga u 2025 g iznose 3.204,10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29.270,55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25.044,21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85,6</w:t>
            </w:r>
          </w:p>
        </w:tc>
      </w:tr>
    </w:tbl>
    <w:p>
      <w:pPr>
        <w:spacing w:before="0" w:after="0"/>
      </w:pPr>
    </w:p>
    <w:p>
      <w:r>
        <w:t xml:space="preserve">Ukupni prihodi od pruženih usluga u 2025. godini iznose 25.044,21 eura i manji su za 4,4%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933.508,88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1.037.052,63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111,1</w:t>
            </w:r>
          </w:p>
        </w:tc>
      </w:tr>
    </w:tbl>
    <w:p>
      <w:pPr>
        <w:spacing w:before="0" w:after="0"/>
      </w:pPr>
    </w:p>
    <w:p>
      <w:r>
        <w:t xml:space="preserve">Ukupni ostvareni prihodi iz nadležnog proračuna za financiranje rashoda poslovanjau iznosu od 1.037.052,63 eur, veći su za 11,1% u odnosu na isti period 2024.g.</w:t>
      </w:r>
    </w:p>
    <w:p>
      <w:r>
        <w:t xml:space="preserve">Povećani prihodi su ponajviše radi  izmjene koeficijenta za obračun plaća, povećanja iznosa mat.prava zaposlenika, načina evidentiranja troškova plaće i prihoda za realizcju programa</w:t>
      </w:r>
    </w:p>
    <w:p>
      <w:r>
        <w:t xml:space="preserve">prihodi nadležnog proračuna čine 90,9% ukupnih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69.509,00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27.381,62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39,4</w:t>
            </w:r>
          </w:p>
        </w:tc>
      </w:tr>
    </w:tbl>
    <w:p>
      <w:pPr>
        <w:spacing w:before="0" w:after="0"/>
      </w:pPr>
    </w:p>
    <w:p>
      <w:r>
        <w:t xml:space="preserve">Prihodi za nabavu nefinancijske imovine odnose se na prihode za nabavu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1.035.361,97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1.263.334,60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122,0</w:t>
            </w:r>
          </w:p>
        </w:tc>
      </w:tr>
    </w:tbl>
    <w:p>
      <w:pPr>
        <w:spacing w:before="0" w:after="0"/>
      </w:pPr>
    </w:p>
    <w:p>
      <w:r>
        <w:t xml:space="preserve">Ukupno ostvareni rashodi 2025g. u iznosu od 1.263.334,60 eura veći su za 22,% u odnosu na isti period 2024g. kada su iznosili 1035.361,97.Na visinu rashoda utjecala je, izmjena koeficijenata obračuna plaća,povećani troškovi promidžbe i ostalih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382.121,55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509.909,08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133,4</w:t>
            </w:r>
          </w:p>
        </w:tc>
      </w:tr>
    </w:tbl>
    <w:p>
      <w:pPr>
        <w:spacing w:before="0" w:after="0"/>
      </w:pPr>
    </w:p>
    <w:p>
      <w:r>
        <w:t xml:space="preserve">Troškovi plaća 2025.g. u iznosu od 509,909,08 u odnosu na isti period 2024.g. kada su iznosili 382.121,55 veći su za 33,4%.Rezultat je to izmjene evidentiranja troškova  , povećanja keficijenta obračuna.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59.834,09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84.134,95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140,6</w:t>
            </w:r>
          </w:p>
        </w:tc>
      </w:tr>
    </w:tbl>
    <w:p>
      <w:pPr>
        <w:spacing w:before="0" w:after="0"/>
      </w:pPr>
    </w:p>
    <w:p>
      <w:r>
        <w:t xml:space="preserve">Troškovi doprinosa za zdravstveno osig. u iznosu od 84.134,95 eur za 2025.g. u odnosu na isti period 2024.g. kada su iznosili 59.834,09 eura.Rezultat je to izmjene evidentiranja troškova  , povećanja keficijenta obračuna.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566.182,56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634.288,33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</w:tbl>
    <w:p>
      <w:pPr>
        <w:spacing w:before="0" w:after="0"/>
      </w:pPr>
    </w:p>
    <w:p>
      <w:r>
        <w:t xml:space="preserve">Ukupni ostvareni materijalni rashodi 2025 g u odnosu na 2024.g. povećani su za 12%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497.007,35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517.536,55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104,1</w:t>
            </w:r>
          </w:p>
        </w:tc>
      </w:tr>
    </w:tbl>
    <w:p>
      <w:pPr>
        <w:spacing w:before="0" w:after="0"/>
      </w:pPr>
    </w:p>
    <w:p>
      <w:r>
        <w:t xml:space="preserve">Rashodi za usluge 2025.g.u iznosu od 517.536,55 eur, u odnosu na troškove 2024 g. koji su iznosili 497.007,35 eura veći su su za 4,1%.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14.797,33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20.283,37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137,1</w:t>
            </w:r>
          </w:p>
        </w:tc>
      </w:tr>
    </w:tbl>
    <w:p>
      <w:pPr>
        <w:spacing w:before="0" w:after="0"/>
      </w:pPr>
    </w:p>
    <w:p>
      <w:r>
        <w:t xml:space="preserve">Troškovi promidžbe 2025 g. U iznosu od 20.283,37 u odnosu na rashode 2024 g koji su iznosili 14.797,33 veći su za 37%, povećanje rashoda proizilazi iz povećane realizacije programa kao i obilježavanja 60 god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136.222,12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190.006,37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139,5</w:t>
            </w:r>
          </w:p>
        </w:tc>
      </w:tr>
    </w:tbl>
    <w:p>
      <w:pPr>
        <w:spacing w:before="0" w:after="0"/>
      </w:pPr>
    </w:p>
    <w:p>
      <w:r>
        <w:t xml:space="preserve">Rashodi ostalih usluga izvještajnog razdoblja 2025.g. u iznosu od 190.006,37 eur veći su za 39,5% u odnosu na prethodno izvještajno razdoblje 2024. godine kada su iznosili 136.222,12 eura. povećanje rashoda proizilazi iz povećane realizacije programskog sadržaja.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20.513,98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sudskih postupaka u iznosu od 20.513,98 eura odnose se na utvrđivanja prava vlasništva.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18.359,27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53.124,01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289,4</w:t>
            </w:r>
          </w:p>
        </w:tc>
      </w:tr>
    </w:tbl>
    <w:p>
      <w:pPr>
        <w:spacing w:before="0" w:after="0"/>
      </w:pPr>
    </w:p>
    <w:p>
      <w:r>
        <w:t xml:space="preserve">Rashodi ostalih usluga izvještajnog razdoblja 2025.g. u iznosu od 53.124,01 eur u odnosu na prethodno izvještajno razdoblje 2024. godine kada su iznosili 18.359,27 eura. Bilježe porast rashoda koji proizilazi iz povećane realizacije programskog sadržaja.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39.717,37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110.424,30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278,0</w:t>
            </w:r>
          </w:p>
        </w:tc>
      </w:tr>
    </w:tbl>
    <w:p>
      <w:pPr>
        <w:spacing w:before="0" w:after="0"/>
      </w:pPr>
    </w:p>
    <w:p>
      <w:r>
        <w:t xml:space="preserve">Manjak prihoda poslovanja 2025g. u iznosu od 110.424,30 eur rezultat je izmjene načina evidentiranja troškova plaće u odnosu na 2024.g., kao i nastalih troškova 12-2025 g za koje nisu u 2025 g doznačena sredstva nadležnog proračuna.Uplatom u 2026 g.iz nadležnog proračuna, manjak će biti podmiren.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58.360,92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2025g. u iznosu od 110.424,30 eur rezultat je izmjene načina evidentiranja troškova plaće u odnosu na 2024.g., kao i nastalih troškova 12-2025 g za koje nisu u 2025 g doznačena sredstva nadležnog proračuna. Dio manjka poslovanja podmiren je iz prenesenog viška prethodnih razdoblja u iznosu od 52.063,38 eur. Prenešeni manjak u sljedeće izvještajno razdoblje iznosi 58.360,92 eur.Uplatom u 2026 g.iz nadležnog proračuna, manjak će biti podmiren.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Ustanova u izvještajnom razdoblju ima obveze u iznosu od 189.799,49 eura. Obveze se odnose na troškove plaće kao i obveze za materijalne rashode za koja će sredstva biti doznačena u 2026. godini.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67efe0152e4b10" /></Relationships>
</file>